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A989" w14:textId="09765506" w:rsidR="00F30383" w:rsidRPr="00F30383" w:rsidRDefault="00F30383" w:rsidP="00F30383">
      <w:pPr>
        <w:pStyle w:val="Heading1"/>
        <w:spacing w:before="0" w:after="240"/>
        <w:rPr>
          <w:sz w:val="52"/>
          <w:szCs w:val="52"/>
        </w:rPr>
      </w:pPr>
      <w:r w:rsidRPr="00F30383">
        <w:rPr>
          <w:sz w:val="52"/>
          <w:szCs w:val="52"/>
        </w:rPr>
        <w:t>Policy Communication</w:t>
      </w:r>
      <w:r w:rsidR="00BA1D3B">
        <w:rPr>
          <w:sz w:val="52"/>
          <w:szCs w:val="52"/>
        </w:rPr>
        <w:t>s</w:t>
      </w:r>
      <w:r w:rsidRPr="00F30383">
        <w:rPr>
          <w:sz w:val="52"/>
          <w:szCs w:val="52"/>
        </w:rPr>
        <w:t xml:space="preserve"> Template</w:t>
      </w:r>
    </w:p>
    <w:p w14:paraId="195101BC" w14:textId="19108E66" w:rsidR="00367F20" w:rsidRPr="007E1D89" w:rsidRDefault="00367F20" w:rsidP="003D42B7">
      <w:pPr>
        <w:rPr>
          <w:rFonts w:ascii="Calibri" w:eastAsia="Times New Roman" w:hAnsi="Calibri" w:cs="Calibri"/>
          <w:color w:val="000000"/>
        </w:rPr>
      </w:pPr>
      <w:r w:rsidRPr="007E1D89">
        <w:rPr>
          <w:rFonts w:ascii="Calibri" w:eastAsia="Times New Roman" w:hAnsi="Calibri" w:cs="Calibri"/>
          <w:color w:val="000000"/>
        </w:rPr>
        <w:t>(DATE)</w:t>
      </w:r>
    </w:p>
    <w:p w14:paraId="13C72799" w14:textId="77777777" w:rsidR="00367F20" w:rsidRPr="007E1D89" w:rsidRDefault="00367F20" w:rsidP="003D42B7">
      <w:pPr>
        <w:rPr>
          <w:rFonts w:ascii="Calibri" w:eastAsia="Times New Roman" w:hAnsi="Calibri" w:cs="Calibri"/>
          <w:color w:val="000000"/>
        </w:rPr>
      </w:pPr>
    </w:p>
    <w:p w14:paraId="50941CB7" w14:textId="6816BDFE" w:rsidR="003D42B7" w:rsidRPr="007E1D89" w:rsidRDefault="003D42B7" w:rsidP="003D42B7">
      <w:pPr>
        <w:rPr>
          <w:rFonts w:ascii="Calibri" w:eastAsia="Times New Roman" w:hAnsi="Calibri" w:cs="Calibri"/>
          <w:color w:val="000000"/>
          <w:sz w:val="21"/>
          <w:szCs w:val="21"/>
        </w:rPr>
      </w:pPr>
      <w:r w:rsidRPr="007E1D89">
        <w:rPr>
          <w:rFonts w:ascii="Calibri" w:eastAsia="Times New Roman" w:hAnsi="Calibri" w:cs="Calibri"/>
          <w:color w:val="000000"/>
        </w:rPr>
        <w:t>Dear (TARGET AUDIENCE),</w:t>
      </w:r>
    </w:p>
    <w:p w14:paraId="7D09C912" w14:textId="77777777" w:rsidR="003D42B7" w:rsidRPr="007E1D89" w:rsidRDefault="003D42B7" w:rsidP="003D42B7">
      <w:pPr>
        <w:rPr>
          <w:rFonts w:ascii="Calibri" w:eastAsia="Times New Roman" w:hAnsi="Calibri" w:cs="Calibri"/>
          <w:color w:val="000000"/>
          <w:sz w:val="21"/>
          <w:szCs w:val="21"/>
        </w:rPr>
      </w:pPr>
      <w:r w:rsidRPr="007E1D89">
        <w:rPr>
          <w:rFonts w:ascii="Calibri" w:eastAsia="Times New Roman" w:hAnsi="Calibri" w:cs="Calibri"/>
          <w:color w:val="000000"/>
        </w:rPr>
        <w:t> </w:t>
      </w:r>
    </w:p>
    <w:p w14:paraId="23067153" w14:textId="388BE08C" w:rsidR="003D42B7" w:rsidRPr="007E1D89" w:rsidRDefault="00D017C3" w:rsidP="003D42B7">
      <w:pPr>
        <w:rPr>
          <w:rFonts w:ascii="Calibri" w:eastAsia="Times New Roman" w:hAnsi="Calibri" w:cs="Calibri"/>
          <w:color w:val="000000"/>
          <w:sz w:val="21"/>
          <w:szCs w:val="21"/>
        </w:rPr>
      </w:pPr>
      <w:r w:rsidRPr="007E1D89">
        <w:rPr>
          <w:rFonts w:ascii="Calibri" w:eastAsia="Times New Roman" w:hAnsi="Calibri" w:cs="Calibri"/>
          <w:color w:val="000000"/>
        </w:rPr>
        <w:t>There are UNT policy updates that may impact you</w:t>
      </w:r>
      <w:r w:rsidR="003D42B7" w:rsidRPr="007E1D89">
        <w:rPr>
          <w:rFonts w:ascii="Calibri" w:eastAsia="Times New Roman" w:hAnsi="Calibri" w:cs="Calibri"/>
          <w:color w:val="000000"/>
        </w:rPr>
        <w:t>.</w:t>
      </w:r>
      <w:r w:rsidRPr="007E1D89">
        <w:rPr>
          <w:rFonts w:ascii="Calibri" w:eastAsia="Times New Roman" w:hAnsi="Calibri" w:cs="Calibri"/>
          <w:color w:val="000000"/>
        </w:rPr>
        <w:t xml:space="preserve"> The affected policies are listed and linked below, along with their key changes. These changes will go into effect (insert date). </w:t>
      </w:r>
      <w:r w:rsidR="00C46745" w:rsidRPr="007E1D89">
        <w:rPr>
          <w:rFonts w:ascii="Calibri" w:eastAsia="Times New Roman" w:hAnsi="Calibri" w:cs="Calibri"/>
          <w:color w:val="000000"/>
        </w:rPr>
        <w:t xml:space="preserve">If you have questions, please contact (insert name and contact info) for assistance. </w:t>
      </w:r>
    </w:p>
    <w:p w14:paraId="49363BF1" w14:textId="77777777" w:rsidR="003D42B7" w:rsidRPr="007E1D89" w:rsidRDefault="003D42B7" w:rsidP="003D42B7">
      <w:pPr>
        <w:rPr>
          <w:rFonts w:ascii="Calibri" w:eastAsia="Times New Roman" w:hAnsi="Calibri" w:cs="Calibri"/>
          <w:color w:val="000000"/>
          <w:sz w:val="21"/>
          <w:szCs w:val="21"/>
        </w:rPr>
      </w:pPr>
      <w:r w:rsidRPr="007E1D89">
        <w:rPr>
          <w:rFonts w:ascii="Calibri" w:eastAsia="Times New Roman" w:hAnsi="Calibri" w:cs="Calibri"/>
          <w:color w:val="000000"/>
        </w:rPr>
        <w:t> </w:t>
      </w:r>
    </w:p>
    <w:p w14:paraId="40A66EA2" w14:textId="7A1BF10F" w:rsidR="003D42B7" w:rsidRPr="007E1D89" w:rsidRDefault="00C46745" w:rsidP="003D42B7">
      <w:pPr>
        <w:rPr>
          <w:rFonts w:ascii="Calibri" w:eastAsia="Times New Roman" w:hAnsi="Calibri" w:cs="Calibri"/>
          <w:color w:val="000000"/>
        </w:rPr>
      </w:pPr>
      <w:r w:rsidRPr="007E1D89">
        <w:rPr>
          <w:rFonts w:ascii="Calibri" w:eastAsia="Times New Roman" w:hAnsi="Calibri" w:cs="Calibri"/>
          <w:color w:val="000000"/>
        </w:rPr>
        <w:t>Policy Updates</w:t>
      </w:r>
      <w:r w:rsidR="003D42B7" w:rsidRPr="007E1D89">
        <w:rPr>
          <w:rFonts w:ascii="Calibri" w:eastAsia="Times New Roman" w:hAnsi="Calibri" w:cs="Calibri"/>
          <w:color w:val="000000"/>
        </w:rPr>
        <w:t>:</w:t>
      </w:r>
    </w:p>
    <w:p w14:paraId="1CFBC9F5" w14:textId="027F7913" w:rsidR="00C46745" w:rsidRPr="007E1D89" w:rsidRDefault="00C46745" w:rsidP="003D42B7">
      <w:pPr>
        <w:rPr>
          <w:rFonts w:ascii="Calibri" w:eastAsia="Times New Roman" w:hAnsi="Calibri" w:cs="Calibri"/>
          <w:color w:val="000000"/>
        </w:rPr>
      </w:pPr>
    </w:p>
    <w:p w14:paraId="6F5482CD" w14:textId="1BF909B5" w:rsidR="00C46745" w:rsidRPr="007E1D89" w:rsidRDefault="00C46745" w:rsidP="003D42B7">
      <w:pPr>
        <w:rPr>
          <w:rFonts w:ascii="Calibri" w:eastAsia="Times New Roman" w:hAnsi="Calibri" w:cs="Calibri"/>
          <w:i/>
          <w:iCs/>
          <w:color w:val="000000"/>
        </w:rPr>
      </w:pPr>
      <w:r w:rsidRPr="007E1D89">
        <w:rPr>
          <w:rFonts w:ascii="Calibri" w:eastAsia="Times New Roman" w:hAnsi="Calibri" w:cs="Calibri"/>
          <w:i/>
          <w:iCs/>
          <w:color w:val="000000"/>
        </w:rPr>
        <w:t xml:space="preserve">(Below are three different ways to explain policy changes. Please use the option that makes the most sense based on the respective policy change. For example, Option A works best for </w:t>
      </w:r>
      <w:r w:rsidR="00367F20" w:rsidRPr="007E1D89">
        <w:rPr>
          <w:rFonts w:ascii="Calibri" w:eastAsia="Times New Roman" w:hAnsi="Calibri" w:cs="Calibri"/>
          <w:i/>
          <w:iCs/>
          <w:color w:val="000000"/>
        </w:rPr>
        <w:t xml:space="preserve">communicating about a policy that </w:t>
      </w:r>
      <w:r w:rsidR="001E7CFA" w:rsidRPr="007E1D89">
        <w:rPr>
          <w:rFonts w:ascii="Calibri" w:eastAsia="Times New Roman" w:hAnsi="Calibri" w:cs="Calibri"/>
          <w:i/>
          <w:iCs/>
          <w:color w:val="000000"/>
        </w:rPr>
        <w:t>underwent</w:t>
      </w:r>
      <w:r w:rsidR="00367F20" w:rsidRPr="007E1D89">
        <w:rPr>
          <w:rFonts w:ascii="Calibri" w:eastAsia="Times New Roman" w:hAnsi="Calibri" w:cs="Calibri"/>
          <w:i/>
          <w:iCs/>
          <w:color w:val="000000"/>
        </w:rPr>
        <w:t xml:space="preserve"> only </w:t>
      </w:r>
      <w:r w:rsidRPr="007E1D89">
        <w:rPr>
          <w:rFonts w:ascii="Calibri" w:eastAsia="Times New Roman" w:hAnsi="Calibri" w:cs="Calibri"/>
          <w:i/>
          <w:iCs/>
          <w:color w:val="000000"/>
        </w:rPr>
        <w:t xml:space="preserve">minor edits. Option B </w:t>
      </w:r>
      <w:r w:rsidR="009D32B7" w:rsidRPr="007E1D89">
        <w:rPr>
          <w:rFonts w:ascii="Calibri" w:eastAsia="Times New Roman" w:hAnsi="Calibri" w:cs="Calibri"/>
          <w:i/>
          <w:iCs/>
          <w:color w:val="000000"/>
        </w:rPr>
        <w:t xml:space="preserve">is best used when there </w:t>
      </w:r>
      <w:proofErr w:type="gramStart"/>
      <w:r w:rsidR="009D32B7" w:rsidRPr="007E1D89">
        <w:rPr>
          <w:rFonts w:ascii="Calibri" w:eastAsia="Times New Roman" w:hAnsi="Calibri" w:cs="Calibri"/>
          <w:i/>
          <w:iCs/>
          <w:color w:val="000000"/>
        </w:rPr>
        <w:t>are</w:t>
      </w:r>
      <w:proofErr w:type="gramEnd"/>
      <w:r w:rsidR="009D32B7" w:rsidRPr="007E1D89">
        <w:rPr>
          <w:rFonts w:ascii="Calibri" w:eastAsia="Times New Roman" w:hAnsi="Calibri" w:cs="Calibri"/>
          <w:i/>
          <w:iCs/>
          <w:color w:val="000000"/>
        </w:rPr>
        <w:t xml:space="preserve"> multiple, easily explained change</w:t>
      </w:r>
      <w:r w:rsidR="00367F20" w:rsidRPr="007E1D89">
        <w:rPr>
          <w:rFonts w:ascii="Calibri" w:eastAsia="Times New Roman" w:hAnsi="Calibri" w:cs="Calibri"/>
          <w:i/>
          <w:iCs/>
          <w:color w:val="000000"/>
        </w:rPr>
        <w:t>s</w:t>
      </w:r>
      <w:r w:rsidR="009D32B7" w:rsidRPr="007E1D89">
        <w:rPr>
          <w:rFonts w:ascii="Calibri" w:eastAsia="Times New Roman" w:hAnsi="Calibri" w:cs="Calibri"/>
          <w:i/>
          <w:iCs/>
          <w:color w:val="000000"/>
        </w:rPr>
        <w:t xml:space="preserve">. Option C is best for more complex or significant </w:t>
      </w:r>
      <w:r w:rsidR="00367F20" w:rsidRPr="007E1D89">
        <w:rPr>
          <w:rFonts w:ascii="Calibri" w:eastAsia="Times New Roman" w:hAnsi="Calibri" w:cs="Calibri"/>
          <w:i/>
          <w:iCs/>
          <w:color w:val="000000"/>
        </w:rPr>
        <w:t xml:space="preserve">policy </w:t>
      </w:r>
      <w:r w:rsidR="009D32B7" w:rsidRPr="007E1D89">
        <w:rPr>
          <w:rFonts w:ascii="Calibri" w:eastAsia="Times New Roman" w:hAnsi="Calibri" w:cs="Calibri"/>
          <w:i/>
          <w:iCs/>
          <w:color w:val="000000"/>
        </w:rPr>
        <w:t>changes.)</w:t>
      </w:r>
    </w:p>
    <w:p w14:paraId="24844CF7" w14:textId="02895E13" w:rsidR="00C46745" w:rsidRPr="007E1D89" w:rsidRDefault="00C46745" w:rsidP="003D42B7">
      <w:pPr>
        <w:rPr>
          <w:rFonts w:ascii="Calibri" w:eastAsia="Times New Roman" w:hAnsi="Calibri" w:cs="Calibri"/>
          <w:color w:val="000000"/>
        </w:rPr>
      </w:pPr>
    </w:p>
    <w:p w14:paraId="6AEAB72C" w14:textId="5F2BAB94" w:rsidR="00C46745" w:rsidRPr="005B71DB" w:rsidRDefault="00C46745" w:rsidP="005B71DB">
      <w:pPr>
        <w:pStyle w:val="Heading2"/>
        <w:rPr>
          <w:color w:val="404040" w:themeColor="text1" w:themeTint="BF"/>
        </w:rPr>
      </w:pPr>
      <w:r w:rsidRPr="005B71DB">
        <w:rPr>
          <w:color w:val="404040" w:themeColor="text1" w:themeTint="BF"/>
        </w:rPr>
        <w:t>Option A</w:t>
      </w:r>
    </w:p>
    <w:p w14:paraId="4BEF0DC6" w14:textId="77777777" w:rsidR="003D42B7" w:rsidRPr="007E1D89" w:rsidRDefault="003D42B7" w:rsidP="003D42B7">
      <w:pPr>
        <w:rPr>
          <w:rFonts w:ascii="Calibri" w:eastAsia="Times New Roman" w:hAnsi="Calibri" w:cs="Calibri"/>
          <w:color w:val="000000"/>
          <w:sz w:val="21"/>
          <w:szCs w:val="21"/>
        </w:rPr>
      </w:pPr>
      <w:r w:rsidRPr="007E1D89">
        <w:rPr>
          <w:rFonts w:ascii="Calibri" w:eastAsia="Times New Roman" w:hAnsi="Calibri" w:cs="Calibri"/>
          <w:color w:val="000000"/>
        </w:rPr>
        <w:t> </w:t>
      </w:r>
    </w:p>
    <w:p w14:paraId="2CF0455D" w14:textId="77777777" w:rsidR="003D42B7" w:rsidRPr="007E1D89" w:rsidRDefault="00BA1D3B" w:rsidP="003D42B7">
      <w:pPr>
        <w:numPr>
          <w:ilvl w:val="0"/>
          <w:numId w:val="1"/>
        </w:numPr>
        <w:rPr>
          <w:rFonts w:ascii="Calibri" w:eastAsia="Times New Roman" w:hAnsi="Calibri" w:cs="Calibri"/>
          <w:color w:val="000000"/>
          <w:sz w:val="21"/>
          <w:szCs w:val="21"/>
        </w:rPr>
      </w:pPr>
      <w:hyperlink r:id="rId5" w:tooltip="https://policy.unt.edu/policy/06-001" w:history="1">
        <w:r w:rsidR="003D42B7" w:rsidRPr="007E1D89">
          <w:rPr>
            <w:rFonts w:ascii="Calibri" w:eastAsia="Times New Roman" w:hAnsi="Calibri" w:cs="Calibri"/>
            <w:color w:val="0563C1"/>
            <w:u w:val="single"/>
          </w:rPr>
          <w:t>UNT Policy 06.001 Evaluating, Awarding, and Accepting Credit</w:t>
        </w:r>
      </w:hyperlink>
    </w:p>
    <w:p w14:paraId="18A1D1DC" w14:textId="77777777" w:rsidR="003D42B7" w:rsidRPr="007E1D89" w:rsidRDefault="003D42B7" w:rsidP="003D42B7">
      <w:pPr>
        <w:numPr>
          <w:ilvl w:val="1"/>
          <w:numId w:val="1"/>
        </w:numPr>
        <w:rPr>
          <w:rFonts w:ascii="Calibri" w:eastAsia="Times New Roman" w:hAnsi="Calibri" w:cs="Calibri"/>
          <w:color w:val="000000"/>
          <w:sz w:val="21"/>
          <w:szCs w:val="21"/>
        </w:rPr>
      </w:pPr>
      <w:r w:rsidRPr="007E1D89">
        <w:rPr>
          <w:rFonts w:ascii="Calibri" w:eastAsia="Times New Roman" w:hAnsi="Calibri" w:cs="Calibri"/>
          <w:color w:val="000000"/>
        </w:rPr>
        <w:t>Key change: The policy was edited for clarity.</w:t>
      </w:r>
    </w:p>
    <w:p w14:paraId="12FCACEE" w14:textId="77777777" w:rsidR="003D42B7" w:rsidRPr="007E1D89" w:rsidRDefault="00BA1D3B" w:rsidP="003D42B7">
      <w:pPr>
        <w:numPr>
          <w:ilvl w:val="0"/>
          <w:numId w:val="1"/>
        </w:numPr>
        <w:rPr>
          <w:rFonts w:ascii="Calibri" w:eastAsia="Times New Roman" w:hAnsi="Calibri" w:cs="Calibri"/>
          <w:color w:val="000000"/>
          <w:sz w:val="21"/>
          <w:szCs w:val="21"/>
        </w:rPr>
      </w:pPr>
      <w:hyperlink r:id="rId6" w:tooltip="https://policy.unt.edu/policy/06-041" w:history="1">
        <w:r w:rsidR="003D42B7" w:rsidRPr="007E1D89">
          <w:rPr>
            <w:rFonts w:ascii="Calibri" w:eastAsia="Times New Roman" w:hAnsi="Calibri" w:cs="Calibri"/>
            <w:color w:val="0563C1"/>
            <w:u w:val="single"/>
          </w:rPr>
          <w:t>UNT Policy 06.041 Stewardship of and Open Access to Works of Scholarship</w:t>
        </w:r>
      </w:hyperlink>
    </w:p>
    <w:p w14:paraId="0282EF4C" w14:textId="77777777" w:rsidR="003D42B7" w:rsidRPr="007E1D89" w:rsidRDefault="003D42B7" w:rsidP="003D42B7">
      <w:pPr>
        <w:numPr>
          <w:ilvl w:val="1"/>
          <w:numId w:val="1"/>
        </w:numPr>
        <w:rPr>
          <w:rFonts w:ascii="Calibri" w:eastAsia="Times New Roman" w:hAnsi="Calibri" w:cs="Calibri"/>
          <w:color w:val="000000"/>
          <w:sz w:val="21"/>
          <w:szCs w:val="21"/>
        </w:rPr>
      </w:pPr>
      <w:r w:rsidRPr="007E1D89">
        <w:rPr>
          <w:rFonts w:ascii="Calibri" w:eastAsia="Times New Roman" w:hAnsi="Calibri" w:cs="Calibri"/>
          <w:color w:val="000000"/>
        </w:rPr>
        <w:t>Key change: The requirement for faculty to deposit their published scholarship to UNT Scholarly Works has been eliminated. The depository still exists, however, and faculty are welcome (and encouraged) to use it.</w:t>
      </w:r>
    </w:p>
    <w:p w14:paraId="29C45E28" w14:textId="77777777" w:rsidR="003D42B7" w:rsidRPr="007E1D89" w:rsidRDefault="003D42B7" w:rsidP="003D42B7">
      <w:pPr>
        <w:rPr>
          <w:rFonts w:ascii="Calibri" w:eastAsia="Times New Roman" w:hAnsi="Calibri" w:cs="Calibri"/>
          <w:color w:val="000000"/>
          <w:sz w:val="21"/>
          <w:szCs w:val="21"/>
        </w:rPr>
      </w:pPr>
      <w:r w:rsidRPr="007E1D89">
        <w:rPr>
          <w:rFonts w:ascii="Calibri" w:eastAsia="Times New Roman" w:hAnsi="Calibri" w:cs="Calibri"/>
          <w:color w:val="000000"/>
        </w:rPr>
        <w:t> </w:t>
      </w:r>
    </w:p>
    <w:p w14:paraId="6D5CE80A" w14:textId="61CF0CD1" w:rsidR="003D42B7" w:rsidRPr="007E1D89" w:rsidRDefault="00C46745" w:rsidP="005B71DB">
      <w:pPr>
        <w:pStyle w:val="Heading2"/>
        <w:rPr>
          <w:color w:val="404040" w:themeColor="text1" w:themeTint="BF"/>
          <w:sz w:val="21"/>
          <w:szCs w:val="21"/>
        </w:rPr>
      </w:pPr>
      <w:r w:rsidRPr="007E1D89">
        <w:rPr>
          <w:color w:val="404040" w:themeColor="text1" w:themeTint="BF"/>
        </w:rPr>
        <w:t>Option B</w:t>
      </w:r>
    </w:p>
    <w:p w14:paraId="203EBABA" w14:textId="77777777" w:rsidR="003D42B7" w:rsidRPr="007E1D89" w:rsidRDefault="003D42B7" w:rsidP="003D42B7">
      <w:pPr>
        <w:rPr>
          <w:rFonts w:ascii="Calibri" w:eastAsia="Times New Roman" w:hAnsi="Calibri" w:cs="Calibri"/>
          <w:color w:val="000000"/>
          <w:sz w:val="21"/>
          <w:szCs w:val="21"/>
        </w:rPr>
      </w:pPr>
      <w:r w:rsidRPr="007E1D89">
        <w:rPr>
          <w:rFonts w:ascii="Calibri" w:eastAsia="Times New Roman" w:hAnsi="Calibri" w:cs="Calibri"/>
          <w:color w:val="000000"/>
        </w:rPr>
        <w:t> </w:t>
      </w:r>
    </w:p>
    <w:p w14:paraId="218E250C" w14:textId="77777777" w:rsidR="003D42B7" w:rsidRPr="00FC7841" w:rsidRDefault="003D42B7" w:rsidP="00FC7841">
      <w:pPr>
        <w:pStyle w:val="Heading3"/>
      </w:pPr>
      <w:r w:rsidRPr="00FC7841">
        <w:t>06.025 Faculty Misconduct and Discipline</w:t>
      </w:r>
    </w:p>
    <w:p w14:paraId="65300F07" w14:textId="77777777" w:rsidR="003D42B7" w:rsidRPr="007E1D89" w:rsidRDefault="003D42B7" w:rsidP="003D42B7">
      <w:pPr>
        <w:rPr>
          <w:rFonts w:ascii="Calibri" w:eastAsia="Times New Roman" w:hAnsi="Calibri" w:cs="Calibri"/>
          <w:color w:val="000000"/>
          <w:sz w:val="21"/>
          <w:szCs w:val="21"/>
        </w:rPr>
      </w:pPr>
      <w:r w:rsidRPr="007E1D89">
        <w:rPr>
          <w:rFonts w:ascii="Calibri" w:eastAsia="Times New Roman" w:hAnsi="Calibri" w:cs="Calibri"/>
          <w:b/>
          <w:bCs/>
          <w:color w:val="000000"/>
        </w:rPr>
        <w:t> </w:t>
      </w:r>
    </w:p>
    <w:p w14:paraId="7FBD7F4B" w14:textId="6C7970AE" w:rsidR="003D42B7" w:rsidRPr="007E1D89" w:rsidRDefault="003D42B7" w:rsidP="003D42B7">
      <w:pPr>
        <w:numPr>
          <w:ilvl w:val="0"/>
          <w:numId w:val="2"/>
        </w:numPr>
        <w:rPr>
          <w:rFonts w:ascii="Calibri" w:eastAsia="Times New Roman" w:hAnsi="Calibri" w:cs="Calibri"/>
          <w:color w:val="000000"/>
          <w:sz w:val="21"/>
          <w:szCs w:val="21"/>
        </w:rPr>
      </w:pPr>
      <w:r w:rsidRPr="007E1D89">
        <w:rPr>
          <w:rFonts w:ascii="Calibri" w:eastAsia="Times New Roman" w:hAnsi="Calibri" w:cs="Calibri"/>
          <w:color w:val="000000"/>
        </w:rPr>
        <w:t xml:space="preserve">The </w:t>
      </w:r>
      <w:r w:rsidR="00565494" w:rsidRPr="007E1D89">
        <w:rPr>
          <w:rFonts w:ascii="Calibri" w:eastAsia="Times New Roman" w:hAnsi="Calibri" w:cs="Calibri"/>
          <w:color w:val="000000"/>
        </w:rPr>
        <w:t>updated</w:t>
      </w:r>
      <w:r w:rsidRPr="007E1D89">
        <w:rPr>
          <w:rFonts w:ascii="Calibri" w:eastAsia="Times New Roman" w:hAnsi="Calibri" w:cs="Calibri"/>
          <w:color w:val="000000"/>
        </w:rPr>
        <w:t xml:space="preserve"> version provides a sequence of events at each level of review, starting with departmental review. </w:t>
      </w:r>
    </w:p>
    <w:p w14:paraId="23C954D6" w14:textId="77777777" w:rsidR="003D42B7" w:rsidRPr="007E1D89" w:rsidRDefault="003D42B7" w:rsidP="003D42B7">
      <w:pPr>
        <w:numPr>
          <w:ilvl w:val="0"/>
          <w:numId w:val="2"/>
        </w:numPr>
        <w:rPr>
          <w:rFonts w:ascii="Calibri" w:eastAsia="Times New Roman" w:hAnsi="Calibri" w:cs="Calibri"/>
          <w:color w:val="000000"/>
          <w:sz w:val="21"/>
          <w:szCs w:val="21"/>
        </w:rPr>
      </w:pPr>
      <w:r w:rsidRPr="007E1D89">
        <w:rPr>
          <w:rFonts w:ascii="Calibri" w:eastAsia="Times New Roman" w:hAnsi="Calibri" w:cs="Calibri"/>
          <w:color w:val="000000"/>
        </w:rPr>
        <w:t>The new version acknowledges that some misconduct allegations, such as those related to research misconduct, sexual harassment, and discrimination, are adjudicated under the auspices of a different policy and/or process. That was always the case, but the Policy Oversight Committee wanted to provide more transparency.</w:t>
      </w:r>
    </w:p>
    <w:p w14:paraId="7DC8617E" w14:textId="24669681" w:rsidR="003D42B7" w:rsidRPr="007E1D89" w:rsidRDefault="003D42B7" w:rsidP="003D42B7">
      <w:pPr>
        <w:numPr>
          <w:ilvl w:val="0"/>
          <w:numId w:val="2"/>
        </w:numPr>
        <w:rPr>
          <w:rFonts w:ascii="Calibri" w:eastAsia="Times New Roman" w:hAnsi="Calibri" w:cs="Calibri"/>
          <w:color w:val="000000"/>
          <w:sz w:val="21"/>
          <w:szCs w:val="21"/>
        </w:rPr>
      </w:pPr>
      <w:r w:rsidRPr="007E1D89">
        <w:rPr>
          <w:rFonts w:ascii="Calibri" w:eastAsia="Times New Roman" w:hAnsi="Calibri" w:cs="Calibri"/>
          <w:color w:val="000000"/>
        </w:rPr>
        <w:t xml:space="preserve">As unit administrators, deans, and the provost review misconduct allegations/findings, they may receive additional information from the faculty member, unit administrator, and other knowledgeable parties. The </w:t>
      </w:r>
      <w:r w:rsidR="00565494" w:rsidRPr="007E1D89">
        <w:rPr>
          <w:rFonts w:ascii="Calibri" w:eastAsia="Times New Roman" w:hAnsi="Calibri" w:cs="Calibri"/>
          <w:color w:val="000000"/>
        </w:rPr>
        <w:t>updated</w:t>
      </w:r>
      <w:r w:rsidRPr="007E1D89">
        <w:rPr>
          <w:rFonts w:ascii="Calibri" w:eastAsia="Times New Roman" w:hAnsi="Calibri" w:cs="Calibri"/>
          <w:color w:val="000000"/>
        </w:rPr>
        <w:t xml:space="preserve"> version notes that new information must be shared with the faculty member and other decision-makers. </w:t>
      </w:r>
    </w:p>
    <w:p w14:paraId="0B51111E" w14:textId="77777777" w:rsidR="003D42B7" w:rsidRPr="007E1D89" w:rsidRDefault="003D42B7" w:rsidP="003D42B7">
      <w:pPr>
        <w:numPr>
          <w:ilvl w:val="0"/>
          <w:numId w:val="2"/>
        </w:numPr>
        <w:rPr>
          <w:rFonts w:ascii="Calibri" w:eastAsia="Times New Roman" w:hAnsi="Calibri" w:cs="Calibri"/>
          <w:color w:val="000000"/>
          <w:sz w:val="21"/>
          <w:szCs w:val="21"/>
        </w:rPr>
      </w:pPr>
      <w:r w:rsidRPr="007E1D89">
        <w:rPr>
          <w:rFonts w:ascii="Calibri" w:eastAsia="Times New Roman" w:hAnsi="Calibri" w:cs="Calibri"/>
          <w:color w:val="000000"/>
        </w:rPr>
        <w:lastRenderedPageBreak/>
        <w:t>The deadline for faculty members to respond to allegations/findings of misconduct has increased from 10 to 30 days. </w:t>
      </w:r>
    </w:p>
    <w:p w14:paraId="400A6691" w14:textId="3CC6151A" w:rsidR="003D42B7" w:rsidRPr="007E1D89" w:rsidRDefault="003D42B7" w:rsidP="003D42B7">
      <w:pPr>
        <w:rPr>
          <w:rFonts w:ascii="Calibri" w:eastAsia="Times New Roman" w:hAnsi="Calibri" w:cs="Calibri"/>
          <w:b/>
          <w:bCs/>
          <w:color w:val="000000"/>
        </w:rPr>
      </w:pPr>
      <w:r w:rsidRPr="007E1D89">
        <w:rPr>
          <w:rFonts w:ascii="Calibri" w:eastAsia="Times New Roman" w:hAnsi="Calibri" w:cs="Calibri"/>
          <w:b/>
          <w:bCs/>
          <w:color w:val="000000"/>
        </w:rPr>
        <w:t> </w:t>
      </w:r>
    </w:p>
    <w:p w14:paraId="162462AF" w14:textId="51C5DA97" w:rsidR="00C46745" w:rsidRPr="00F30383" w:rsidRDefault="00C46745" w:rsidP="005B71DB">
      <w:pPr>
        <w:pStyle w:val="Heading2"/>
        <w:rPr>
          <w:color w:val="404040" w:themeColor="text1" w:themeTint="BF"/>
        </w:rPr>
      </w:pPr>
      <w:r w:rsidRPr="00F30383">
        <w:rPr>
          <w:color w:val="404040" w:themeColor="text1" w:themeTint="BF"/>
        </w:rPr>
        <w:t>Option C</w:t>
      </w:r>
    </w:p>
    <w:p w14:paraId="39B733FA" w14:textId="77777777" w:rsidR="00C46745" w:rsidRPr="007E1D89" w:rsidRDefault="00C46745" w:rsidP="003D42B7">
      <w:pPr>
        <w:rPr>
          <w:rFonts w:ascii="Calibri" w:eastAsia="Times New Roman" w:hAnsi="Calibri" w:cs="Calibri"/>
          <w:color w:val="000000"/>
          <w:sz w:val="21"/>
          <w:szCs w:val="21"/>
        </w:rPr>
      </w:pPr>
    </w:p>
    <w:p w14:paraId="6A0DAB21" w14:textId="77777777" w:rsidR="003D42B7" w:rsidRPr="007E1D89" w:rsidRDefault="003D42B7" w:rsidP="00FC7841">
      <w:pPr>
        <w:pStyle w:val="Heading3"/>
        <w:rPr>
          <w:sz w:val="21"/>
          <w:szCs w:val="21"/>
        </w:rPr>
      </w:pPr>
      <w:r w:rsidRPr="007E1D89">
        <w:t>06.040 Grade Appeals </w:t>
      </w:r>
    </w:p>
    <w:p w14:paraId="296B04C1" w14:textId="77777777" w:rsidR="003D42B7" w:rsidRPr="007E1D89" w:rsidRDefault="003D42B7" w:rsidP="003D42B7">
      <w:pPr>
        <w:rPr>
          <w:rFonts w:ascii="Calibri" w:eastAsia="Times New Roman" w:hAnsi="Calibri" w:cs="Calibri"/>
          <w:color w:val="000000"/>
          <w:sz w:val="21"/>
          <w:szCs w:val="21"/>
        </w:rPr>
      </w:pPr>
      <w:r w:rsidRPr="007E1D89">
        <w:rPr>
          <w:rFonts w:ascii="Calibri" w:eastAsia="Times New Roman" w:hAnsi="Calibri" w:cs="Calibri"/>
          <w:color w:val="000000"/>
        </w:rPr>
        <w:t> </w:t>
      </w:r>
    </w:p>
    <w:p w14:paraId="09A22BF2" w14:textId="4BE8E9FF" w:rsidR="003D42B7" w:rsidRPr="007E1D89" w:rsidRDefault="003D42B7" w:rsidP="003D42B7">
      <w:pPr>
        <w:numPr>
          <w:ilvl w:val="0"/>
          <w:numId w:val="3"/>
        </w:numPr>
        <w:rPr>
          <w:rFonts w:ascii="Calibri" w:eastAsia="Times New Roman" w:hAnsi="Calibri" w:cs="Calibri"/>
          <w:color w:val="000000"/>
          <w:sz w:val="28"/>
          <w:szCs w:val="28"/>
        </w:rPr>
      </w:pPr>
      <w:r w:rsidRPr="007E1D89">
        <w:rPr>
          <w:rFonts w:ascii="Calibri" w:eastAsia="Times New Roman" w:hAnsi="Calibri" w:cs="Calibri"/>
          <w:b/>
          <w:bCs/>
          <w:color w:val="000000"/>
        </w:rPr>
        <w:t>Grounds for an appeal</w:t>
      </w:r>
      <w:r w:rsidRPr="007E1D89">
        <w:rPr>
          <w:rFonts w:ascii="Calibri" w:eastAsia="Times New Roman" w:hAnsi="Calibri" w:cs="Calibri"/>
          <w:color w:val="000000"/>
        </w:rPr>
        <w:t xml:space="preserve">: Under the previous </w:t>
      </w:r>
      <w:r w:rsidR="00565494" w:rsidRPr="007E1D89">
        <w:rPr>
          <w:rFonts w:ascii="Calibri" w:eastAsia="Times New Roman" w:hAnsi="Calibri" w:cs="Calibri"/>
          <w:color w:val="000000"/>
        </w:rPr>
        <w:t xml:space="preserve">policy </w:t>
      </w:r>
      <w:r w:rsidRPr="007E1D89">
        <w:rPr>
          <w:rFonts w:ascii="Calibri" w:eastAsia="Times New Roman" w:hAnsi="Calibri" w:cs="Calibri"/>
          <w:color w:val="000000"/>
        </w:rPr>
        <w:t>version, there were two grounds for an appeal. With the goal of creating greater clarity, the</w:t>
      </w:r>
      <w:r w:rsidR="00F559AA" w:rsidRPr="007E1D89">
        <w:rPr>
          <w:rFonts w:ascii="Calibri" w:eastAsia="Times New Roman" w:hAnsi="Calibri" w:cs="Calibri"/>
          <w:color w:val="000000"/>
        </w:rPr>
        <w:t xml:space="preserve"> Faculty</w:t>
      </w:r>
      <w:r w:rsidRPr="007E1D89">
        <w:rPr>
          <w:rFonts w:ascii="Calibri" w:eastAsia="Times New Roman" w:hAnsi="Calibri" w:cs="Calibri"/>
          <w:color w:val="000000"/>
        </w:rPr>
        <w:t xml:space="preserve"> Senate established three grounds for an appeal. </w:t>
      </w:r>
    </w:p>
    <w:p w14:paraId="2D7C8F7F" w14:textId="77777777" w:rsidR="003D42B7" w:rsidRPr="007E1D89" w:rsidRDefault="003D42B7" w:rsidP="003D42B7">
      <w:pPr>
        <w:ind w:left="720"/>
        <w:rPr>
          <w:rFonts w:ascii="Calibri" w:eastAsia="Times New Roman" w:hAnsi="Calibri" w:cs="Calibri"/>
          <w:color w:val="000000"/>
          <w:sz w:val="28"/>
          <w:szCs w:val="28"/>
        </w:rPr>
      </w:pPr>
      <w:r w:rsidRPr="007E1D89">
        <w:rPr>
          <w:rFonts w:ascii="Calibri" w:eastAsia="Times New Roman" w:hAnsi="Calibri" w:cs="Calibri"/>
          <w:color w:val="000000"/>
        </w:rPr>
        <w:t> </w:t>
      </w:r>
    </w:p>
    <w:tbl>
      <w:tblPr>
        <w:tblW w:w="0" w:type="auto"/>
        <w:tblInd w:w="720" w:type="dxa"/>
        <w:tblCellMar>
          <w:left w:w="0" w:type="dxa"/>
          <w:right w:w="0" w:type="dxa"/>
        </w:tblCellMar>
        <w:tblLook w:val="04A0" w:firstRow="1" w:lastRow="0" w:firstColumn="1" w:lastColumn="0" w:noHBand="0" w:noVBand="1"/>
        <w:tblCaption w:val="Detailed Policy Update Language Comparison"/>
        <w:tblDescription w:val="This table contains a comparison of language that was previously in the policy (left column) with language that is now in the policy (right column)."/>
      </w:tblPr>
      <w:tblGrid>
        <w:gridCol w:w="4362"/>
        <w:gridCol w:w="4258"/>
      </w:tblGrid>
      <w:tr w:rsidR="003D42B7" w:rsidRPr="00986528" w14:paraId="041978E7" w14:textId="77777777" w:rsidTr="003D42B7">
        <w:tc>
          <w:tcPr>
            <w:tcW w:w="4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9D7E6" w14:textId="77777777" w:rsidR="003D42B7" w:rsidRPr="00986528" w:rsidRDefault="003D42B7" w:rsidP="003D42B7">
            <w:pPr>
              <w:rPr>
                <w:rFonts w:ascii="Calibri" w:eastAsia="Times New Roman" w:hAnsi="Calibri" w:cs="Calibri"/>
                <w:b/>
                <w:bCs/>
                <w:sz w:val="21"/>
                <w:szCs w:val="21"/>
              </w:rPr>
            </w:pPr>
            <w:r w:rsidRPr="00986528">
              <w:rPr>
                <w:rFonts w:ascii="Calibri" w:eastAsia="Times New Roman" w:hAnsi="Calibri" w:cs="Calibri"/>
                <w:b/>
                <w:bCs/>
              </w:rPr>
              <w:t>Previous language</w:t>
            </w:r>
          </w:p>
        </w:tc>
        <w:tc>
          <w:tcPr>
            <w:tcW w:w="42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FC6774" w14:textId="77777777" w:rsidR="003D42B7" w:rsidRPr="00986528" w:rsidRDefault="003D42B7" w:rsidP="003D42B7">
            <w:pPr>
              <w:rPr>
                <w:rFonts w:ascii="Calibri" w:eastAsia="Times New Roman" w:hAnsi="Calibri" w:cs="Calibri"/>
                <w:b/>
                <w:bCs/>
                <w:sz w:val="21"/>
                <w:szCs w:val="21"/>
              </w:rPr>
            </w:pPr>
            <w:r w:rsidRPr="00986528">
              <w:rPr>
                <w:rFonts w:ascii="Calibri" w:eastAsia="Times New Roman" w:hAnsi="Calibri" w:cs="Calibri"/>
                <w:b/>
                <w:bCs/>
              </w:rPr>
              <w:t>New language</w:t>
            </w:r>
          </w:p>
        </w:tc>
      </w:tr>
      <w:tr w:rsidR="003D42B7" w:rsidRPr="007E1D89" w14:paraId="7F8DA7C3" w14:textId="77777777" w:rsidTr="003D42B7">
        <w:tc>
          <w:tcPr>
            <w:tcW w:w="4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FEC64" w14:textId="77777777" w:rsidR="003D42B7" w:rsidRPr="007E1D89" w:rsidRDefault="003D42B7" w:rsidP="003D42B7">
            <w:pPr>
              <w:numPr>
                <w:ilvl w:val="0"/>
                <w:numId w:val="4"/>
              </w:numPr>
              <w:ind w:left="360"/>
              <w:rPr>
                <w:rFonts w:ascii="Calibri" w:eastAsia="Times New Roman" w:hAnsi="Calibri" w:cs="Calibri"/>
                <w:color w:val="000000"/>
                <w:sz w:val="28"/>
                <w:szCs w:val="28"/>
              </w:rPr>
            </w:pPr>
            <w:r w:rsidRPr="007E1D89">
              <w:rPr>
                <w:rFonts w:ascii="Calibri" w:eastAsia="Times New Roman" w:hAnsi="Calibri" w:cs="Calibri"/>
                <w:color w:val="000000"/>
              </w:rPr>
              <w:t>inequitable treatment that is the result of departure from the instructor’s stated standards, and course policies; or</w:t>
            </w:r>
          </w:p>
          <w:p w14:paraId="0F5C9432" w14:textId="77777777" w:rsidR="003D42B7" w:rsidRPr="007E1D89" w:rsidRDefault="003D42B7" w:rsidP="003D42B7">
            <w:pPr>
              <w:numPr>
                <w:ilvl w:val="0"/>
                <w:numId w:val="4"/>
              </w:numPr>
              <w:ind w:left="360"/>
              <w:rPr>
                <w:rFonts w:ascii="Calibri" w:eastAsia="Times New Roman" w:hAnsi="Calibri" w:cs="Calibri"/>
                <w:color w:val="000000"/>
                <w:sz w:val="28"/>
                <w:szCs w:val="28"/>
              </w:rPr>
            </w:pPr>
            <w:r w:rsidRPr="007E1D89">
              <w:rPr>
                <w:rFonts w:ascii="Calibri" w:eastAsia="Times New Roman" w:hAnsi="Calibri" w:cs="Calibri"/>
                <w:color w:val="000000"/>
              </w:rPr>
              <w:t>a decision based on an error in fact. </w:t>
            </w:r>
          </w:p>
        </w:tc>
        <w:tc>
          <w:tcPr>
            <w:tcW w:w="4263" w:type="dxa"/>
            <w:tcBorders>
              <w:top w:val="nil"/>
              <w:left w:val="nil"/>
              <w:bottom w:val="single" w:sz="8" w:space="0" w:color="auto"/>
              <w:right w:val="single" w:sz="8" w:space="0" w:color="auto"/>
            </w:tcBorders>
            <w:tcMar>
              <w:top w:w="0" w:type="dxa"/>
              <w:left w:w="108" w:type="dxa"/>
              <w:bottom w:w="0" w:type="dxa"/>
              <w:right w:w="108" w:type="dxa"/>
            </w:tcMar>
            <w:hideMark/>
          </w:tcPr>
          <w:p w14:paraId="6DADE9CC" w14:textId="77777777" w:rsidR="003D42B7" w:rsidRPr="007E1D89" w:rsidRDefault="003D42B7" w:rsidP="003D42B7">
            <w:pPr>
              <w:numPr>
                <w:ilvl w:val="0"/>
                <w:numId w:val="5"/>
              </w:numPr>
              <w:ind w:left="360"/>
              <w:rPr>
                <w:rFonts w:ascii="Calibri" w:eastAsia="Times New Roman" w:hAnsi="Calibri" w:cs="Calibri"/>
                <w:color w:val="000000"/>
                <w:sz w:val="28"/>
                <w:szCs w:val="28"/>
              </w:rPr>
            </w:pPr>
            <w:r w:rsidRPr="007E1D89">
              <w:rPr>
                <w:rFonts w:ascii="Calibri" w:eastAsia="Times New Roman" w:hAnsi="Calibri" w:cs="Calibri"/>
                <w:color w:val="000000"/>
              </w:rPr>
              <w:t>grade was based on unfair treatment; </w:t>
            </w:r>
          </w:p>
          <w:p w14:paraId="43EF3AAF" w14:textId="77777777" w:rsidR="003D42B7" w:rsidRPr="007E1D89" w:rsidRDefault="003D42B7" w:rsidP="003D42B7">
            <w:pPr>
              <w:numPr>
                <w:ilvl w:val="0"/>
                <w:numId w:val="5"/>
              </w:numPr>
              <w:ind w:left="360"/>
              <w:rPr>
                <w:rFonts w:ascii="Calibri" w:eastAsia="Times New Roman" w:hAnsi="Calibri" w:cs="Calibri"/>
                <w:color w:val="000000"/>
                <w:sz w:val="28"/>
                <w:szCs w:val="28"/>
              </w:rPr>
            </w:pPr>
            <w:r w:rsidRPr="007E1D89">
              <w:rPr>
                <w:rFonts w:ascii="Calibri" w:eastAsia="Times New Roman" w:hAnsi="Calibri" w:cs="Calibri"/>
                <w:color w:val="000000"/>
              </w:rPr>
              <w:t>instructor departed from standards set out in the course syllabus without a rational academic reason; or </w:t>
            </w:r>
          </w:p>
          <w:p w14:paraId="4BAB23EA" w14:textId="77777777" w:rsidR="003D42B7" w:rsidRPr="007E1D89" w:rsidRDefault="003D42B7" w:rsidP="003D42B7">
            <w:pPr>
              <w:numPr>
                <w:ilvl w:val="0"/>
                <w:numId w:val="5"/>
              </w:numPr>
              <w:ind w:left="360"/>
              <w:rPr>
                <w:rFonts w:ascii="Calibri" w:eastAsia="Times New Roman" w:hAnsi="Calibri" w:cs="Calibri"/>
                <w:color w:val="000000"/>
                <w:sz w:val="28"/>
                <w:szCs w:val="28"/>
              </w:rPr>
            </w:pPr>
            <w:r w:rsidRPr="007E1D89">
              <w:rPr>
                <w:rFonts w:ascii="Calibri" w:eastAsia="Times New Roman" w:hAnsi="Calibri" w:cs="Calibri"/>
                <w:color w:val="000000"/>
              </w:rPr>
              <w:t>an error was made in calculating the grade, including failure to factor an assignment, project, quiz, or examination.</w:t>
            </w:r>
          </w:p>
        </w:tc>
      </w:tr>
    </w:tbl>
    <w:p w14:paraId="7869E949" w14:textId="77777777" w:rsidR="003D42B7" w:rsidRPr="007E1D89" w:rsidRDefault="003D42B7" w:rsidP="003D42B7">
      <w:pPr>
        <w:ind w:left="720"/>
        <w:rPr>
          <w:rFonts w:ascii="Calibri" w:eastAsia="Times New Roman" w:hAnsi="Calibri" w:cs="Calibri"/>
          <w:color w:val="000000"/>
          <w:sz w:val="28"/>
          <w:szCs w:val="28"/>
        </w:rPr>
      </w:pPr>
      <w:r w:rsidRPr="007E1D89">
        <w:rPr>
          <w:rFonts w:ascii="Calibri" w:eastAsia="Times New Roman" w:hAnsi="Calibri" w:cs="Calibri"/>
          <w:color w:val="000000"/>
        </w:rPr>
        <w:t> </w:t>
      </w:r>
    </w:p>
    <w:p w14:paraId="122782B1" w14:textId="77777777" w:rsidR="003D42B7" w:rsidRPr="007E1D89" w:rsidRDefault="003D42B7" w:rsidP="003D42B7">
      <w:pPr>
        <w:numPr>
          <w:ilvl w:val="0"/>
          <w:numId w:val="6"/>
        </w:numPr>
        <w:rPr>
          <w:rFonts w:ascii="Calibri" w:eastAsia="Times New Roman" w:hAnsi="Calibri" w:cs="Calibri"/>
          <w:color w:val="000000"/>
          <w:sz w:val="21"/>
          <w:szCs w:val="21"/>
        </w:rPr>
      </w:pPr>
      <w:r w:rsidRPr="007E1D89">
        <w:rPr>
          <w:rFonts w:ascii="Calibri" w:eastAsia="Times New Roman" w:hAnsi="Calibri" w:cs="Calibri"/>
          <w:b/>
          <w:bCs/>
          <w:color w:val="000000"/>
        </w:rPr>
        <w:t>Appeals based on discrimination or sexual harassment</w:t>
      </w:r>
      <w:r w:rsidRPr="007E1D89">
        <w:rPr>
          <w:rFonts w:ascii="Calibri" w:eastAsia="Times New Roman" w:hAnsi="Calibri" w:cs="Calibri"/>
          <w:color w:val="000000"/>
        </w:rPr>
        <w:t xml:space="preserve">: The previous </w:t>
      </w:r>
      <w:r w:rsidR="00565494" w:rsidRPr="007E1D89">
        <w:rPr>
          <w:rFonts w:ascii="Calibri" w:eastAsia="Times New Roman" w:hAnsi="Calibri" w:cs="Calibri"/>
          <w:color w:val="000000"/>
        </w:rPr>
        <w:t xml:space="preserve">policy </w:t>
      </w:r>
      <w:r w:rsidRPr="007E1D89">
        <w:rPr>
          <w:rFonts w:ascii="Calibri" w:eastAsia="Times New Roman" w:hAnsi="Calibri" w:cs="Calibri"/>
          <w:color w:val="000000"/>
        </w:rPr>
        <w:t>version acknowledged a separate process for handling appeals based on discrimination or harassment. The new version specifies that students must report appeals of this nature to the Office of Equal Opportunity.</w:t>
      </w:r>
    </w:p>
    <w:p w14:paraId="10CD8CCE" w14:textId="77777777" w:rsidR="003D42B7" w:rsidRPr="007E1D89" w:rsidRDefault="003D42B7" w:rsidP="003D42B7">
      <w:pPr>
        <w:ind w:left="720"/>
        <w:rPr>
          <w:rFonts w:ascii="Calibri" w:eastAsia="Times New Roman" w:hAnsi="Calibri" w:cs="Calibri"/>
          <w:color w:val="000000"/>
          <w:sz w:val="21"/>
          <w:szCs w:val="21"/>
        </w:rPr>
      </w:pPr>
      <w:r w:rsidRPr="007E1D89">
        <w:rPr>
          <w:rFonts w:ascii="Calibri" w:eastAsia="Times New Roman" w:hAnsi="Calibri" w:cs="Calibri"/>
          <w:color w:val="000000"/>
        </w:rPr>
        <w:t> </w:t>
      </w:r>
    </w:p>
    <w:tbl>
      <w:tblPr>
        <w:tblW w:w="0" w:type="auto"/>
        <w:tblInd w:w="720" w:type="dxa"/>
        <w:tblCellMar>
          <w:left w:w="0" w:type="dxa"/>
          <w:right w:w="0" w:type="dxa"/>
        </w:tblCellMar>
        <w:tblLook w:val="04A0" w:firstRow="1" w:lastRow="0" w:firstColumn="1" w:lastColumn="0" w:noHBand="0" w:noVBand="1"/>
        <w:tblCaption w:val="Detailed Policy Update Language Comparison"/>
        <w:tblDescription w:val="This table contains a comparison of language that was previously in the policy (left column) with language that is now in the policy (right column)."/>
      </w:tblPr>
      <w:tblGrid>
        <w:gridCol w:w="4313"/>
        <w:gridCol w:w="4307"/>
      </w:tblGrid>
      <w:tr w:rsidR="003D42B7" w:rsidRPr="00986528" w14:paraId="3B399A36" w14:textId="77777777" w:rsidTr="003D42B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F7FC5" w14:textId="77777777" w:rsidR="003D42B7" w:rsidRPr="00986528" w:rsidRDefault="003D42B7" w:rsidP="003D42B7">
            <w:pPr>
              <w:rPr>
                <w:rFonts w:ascii="Calibri" w:eastAsia="Times New Roman" w:hAnsi="Calibri" w:cs="Calibri"/>
                <w:b/>
                <w:bCs/>
                <w:sz w:val="21"/>
                <w:szCs w:val="21"/>
              </w:rPr>
            </w:pPr>
            <w:r w:rsidRPr="00986528">
              <w:rPr>
                <w:rFonts w:ascii="Calibri" w:eastAsia="Times New Roman" w:hAnsi="Calibri" w:cs="Calibri"/>
                <w:b/>
                <w:bCs/>
              </w:rPr>
              <w:t>Previous language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F5869A" w14:textId="77777777" w:rsidR="003D42B7" w:rsidRPr="00986528" w:rsidRDefault="003D42B7" w:rsidP="003D42B7">
            <w:pPr>
              <w:rPr>
                <w:rFonts w:ascii="Calibri" w:eastAsia="Times New Roman" w:hAnsi="Calibri" w:cs="Calibri"/>
                <w:b/>
                <w:bCs/>
                <w:sz w:val="21"/>
                <w:szCs w:val="21"/>
              </w:rPr>
            </w:pPr>
            <w:r w:rsidRPr="00986528">
              <w:rPr>
                <w:rFonts w:ascii="Calibri" w:eastAsia="Times New Roman" w:hAnsi="Calibri" w:cs="Calibri"/>
                <w:b/>
                <w:bCs/>
              </w:rPr>
              <w:t>New language</w:t>
            </w:r>
          </w:p>
        </w:tc>
      </w:tr>
      <w:tr w:rsidR="003D42B7" w:rsidRPr="007E1D89" w14:paraId="0D6ABA45" w14:textId="77777777" w:rsidTr="003D42B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DE269" w14:textId="70459262" w:rsidR="003D42B7" w:rsidRPr="007E1D89" w:rsidRDefault="003D42B7" w:rsidP="003D42B7">
            <w:pPr>
              <w:rPr>
                <w:rFonts w:ascii="Calibri" w:eastAsia="Times New Roman" w:hAnsi="Calibri" w:cs="Calibri"/>
                <w:sz w:val="21"/>
                <w:szCs w:val="21"/>
              </w:rPr>
            </w:pPr>
            <w:r w:rsidRPr="007E1D89">
              <w:rPr>
                <w:rFonts w:ascii="Calibri" w:eastAsia="Times New Roman" w:hAnsi="Calibri" w:cs="Calibri"/>
              </w:rPr>
              <w:t>If the student believes that the grade was assigned inappropriately due to discrimination or sexual harassment</w:t>
            </w:r>
            <w:r w:rsidRPr="007E1D89">
              <w:rPr>
                <w:rFonts w:ascii="Calibri" w:eastAsia="Times New Roman" w:hAnsi="Calibri" w:cs="Calibri"/>
                <w:i/>
                <w:iCs/>
              </w:rPr>
              <w:t>, the case must first be resolved through procedures for such complaints</w:t>
            </w:r>
            <w:r w:rsidRPr="007E1D89">
              <w:rPr>
                <w:rFonts w:ascii="Calibri" w:eastAsia="Times New Roman" w:hAnsi="Calibri" w:cs="Calibri"/>
              </w:rPr>
              <w:t xml:space="preserve"> (see </w:t>
            </w:r>
            <w:hyperlink r:id="rId7" w:history="1">
              <w:r w:rsidRPr="007E1D89">
                <w:rPr>
                  <w:rStyle w:val="Hyperlink"/>
                  <w:rFonts w:ascii="Calibri" w:eastAsia="Times New Roman" w:hAnsi="Calibri" w:cs="Calibri"/>
                </w:rPr>
                <w:t>UNT Policy 16.006, Information and Procedural Guidelines for Pursuing and Resolving a Complaint of Discrimination, Including Sexual Harassment</w:t>
              </w:r>
            </w:hyperlink>
            <w:r w:rsidRPr="007E1D89">
              <w:rPr>
                <w:rFonts w:ascii="Calibri" w:eastAsia="Times New Roman" w:hAnsi="Calibri" w:cs="Calibri"/>
              </w:rPr>
              <w: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A4392FC" w14:textId="77777777" w:rsidR="003D42B7" w:rsidRPr="007E1D89" w:rsidRDefault="003D42B7" w:rsidP="003D42B7">
            <w:pPr>
              <w:rPr>
                <w:rFonts w:ascii="Calibri" w:eastAsia="Times New Roman" w:hAnsi="Calibri" w:cs="Calibri"/>
                <w:sz w:val="21"/>
                <w:szCs w:val="21"/>
              </w:rPr>
            </w:pPr>
            <w:r w:rsidRPr="007E1D89">
              <w:rPr>
                <w:rFonts w:ascii="Calibri" w:eastAsia="Times New Roman" w:hAnsi="Calibri" w:cs="Calibri"/>
              </w:rPr>
              <w:t>If the student believes that the grade was assigned due to discrimination or sexual harassment</w:t>
            </w:r>
            <w:r w:rsidRPr="007E1D89">
              <w:rPr>
                <w:rFonts w:ascii="Calibri" w:eastAsia="Times New Roman" w:hAnsi="Calibri" w:cs="Calibri"/>
                <w:i/>
                <w:iCs/>
              </w:rPr>
              <w:t>, the student must report this belief to the Office of Equal Opportunity</w:t>
            </w:r>
            <w:r w:rsidRPr="007E1D89">
              <w:rPr>
                <w:rFonts w:ascii="Calibri" w:eastAsia="Times New Roman" w:hAnsi="Calibri" w:cs="Calibri"/>
              </w:rPr>
              <w:t>. That allegation must be resolved through the UNT Resolution Procedures for Complaints of Discrimination, Harassment, or Retaliation, before the appeal can proceed.</w:t>
            </w:r>
          </w:p>
        </w:tc>
      </w:tr>
    </w:tbl>
    <w:p w14:paraId="5278B21F" w14:textId="77777777" w:rsidR="003D42B7" w:rsidRPr="007E1D89" w:rsidRDefault="003D42B7" w:rsidP="003D42B7">
      <w:pPr>
        <w:ind w:left="720"/>
        <w:rPr>
          <w:rFonts w:ascii="Calibri" w:eastAsia="Times New Roman" w:hAnsi="Calibri" w:cs="Calibri"/>
          <w:color w:val="000000"/>
          <w:sz w:val="21"/>
          <w:szCs w:val="21"/>
        </w:rPr>
      </w:pPr>
      <w:r w:rsidRPr="007E1D89">
        <w:rPr>
          <w:rFonts w:ascii="Calibri" w:eastAsia="Times New Roman" w:hAnsi="Calibri" w:cs="Calibri"/>
          <w:color w:val="FFFFFF"/>
        </w:rPr>
        <w:t> </w:t>
      </w:r>
    </w:p>
    <w:p w14:paraId="7B562CEB" w14:textId="6FDAC9DA" w:rsidR="003D42B7" w:rsidRPr="007E1D89" w:rsidRDefault="003D42B7" w:rsidP="003D42B7">
      <w:pPr>
        <w:numPr>
          <w:ilvl w:val="0"/>
          <w:numId w:val="7"/>
        </w:numPr>
        <w:rPr>
          <w:rFonts w:ascii="Calibri" w:eastAsia="Times New Roman" w:hAnsi="Calibri" w:cs="Calibri"/>
          <w:color w:val="000000"/>
          <w:sz w:val="21"/>
          <w:szCs w:val="21"/>
        </w:rPr>
      </w:pPr>
      <w:r w:rsidRPr="007E1D89">
        <w:rPr>
          <w:rFonts w:ascii="Calibri" w:eastAsia="Times New Roman" w:hAnsi="Calibri" w:cs="Calibri"/>
          <w:b/>
          <w:bCs/>
          <w:color w:val="000000"/>
        </w:rPr>
        <w:t>Appeals to the dean</w:t>
      </w:r>
      <w:r w:rsidRPr="007E1D89">
        <w:rPr>
          <w:rFonts w:ascii="Calibri" w:eastAsia="Times New Roman" w:hAnsi="Calibri" w:cs="Calibri"/>
          <w:color w:val="000000"/>
        </w:rPr>
        <w:t xml:space="preserve">: Under the previous version of the policy, the unit administrator’s decision could only be appealed to the dean on procedural grounds. It was very important to the Policy Oversight Committee to establish broader grounds for appeal. Under the new version, therefore, faculty and students may appeal to the dean on </w:t>
      </w:r>
      <w:r w:rsidRPr="007E1D89">
        <w:rPr>
          <w:rFonts w:ascii="Calibri" w:eastAsia="Times New Roman" w:hAnsi="Calibri" w:cs="Calibri"/>
          <w:color w:val="000000"/>
        </w:rPr>
        <w:lastRenderedPageBreak/>
        <w:t>procedural and/or substantive grounds. “</w:t>
      </w:r>
      <w:r w:rsidR="00565494" w:rsidRPr="007E1D89">
        <w:rPr>
          <w:rFonts w:ascii="Calibri" w:eastAsia="Times New Roman" w:hAnsi="Calibri" w:cs="Calibri"/>
          <w:color w:val="000000"/>
        </w:rPr>
        <w:t>S</w:t>
      </w:r>
      <w:r w:rsidRPr="007E1D89">
        <w:rPr>
          <w:rFonts w:ascii="Calibri" w:eastAsia="Times New Roman" w:hAnsi="Calibri" w:cs="Calibri"/>
          <w:color w:val="000000"/>
        </w:rPr>
        <w:t>ubstantive,” mean</w:t>
      </w:r>
      <w:r w:rsidR="00565494" w:rsidRPr="007E1D89">
        <w:rPr>
          <w:rFonts w:ascii="Calibri" w:eastAsia="Times New Roman" w:hAnsi="Calibri" w:cs="Calibri"/>
          <w:color w:val="000000"/>
        </w:rPr>
        <w:t>s</w:t>
      </w:r>
      <w:r w:rsidRPr="007E1D89">
        <w:rPr>
          <w:rFonts w:ascii="Calibri" w:eastAsia="Times New Roman" w:hAnsi="Calibri" w:cs="Calibri"/>
          <w:color w:val="000000"/>
        </w:rPr>
        <w:t xml:space="preserve"> appeals based on allegations of unfair treatment, deviation from the syllabus, or grade calculation error. </w:t>
      </w:r>
    </w:p>
    <w:p w14:paraId="34063586" w14:textId="77777777" w:rsidR="003D42B7" w:rsidRPr="007E1D89" w:rsidRDefault="003D42B7" w:rsidP="003D42B7">
      <w:pPr>
        <w:ind w:left="720"/>
        <w:rPr>
          <w:rFonts w:ascii="Calibri" w:eastAsia="Times New Roman" w:hAnsi="Calibri" w:cs="Calibri"/>
          <w:color w:val="000000"/>
          <w:sz w:val="21"/>
          <w:szCs w:val="21"/>
        </w:rPr>
      </w:pPr>
      <w:r w:rsidRPr="007E1D89">
        <w:rPr>
          <w:rFonts w:ascii="Calibri" w:eastAsia="Times New Roman" w:hAnsi="Calibri" w:cs="Calibri"/>
          <w:color w:val="000000"/>
        </w:rPr>
        <w:t> </w:t>
      </w:r>
    </w:p>
    <w:p w14:paraId="6D401CC9" w14:textId="77777777" w:rsidR="003D42B7" w:rsidRPr="007E1D89" w:rsidRDefault="003D42B7" w:rsidP="003D42B7">
      <w:pPr>
        <w:numPr>
          <w:ilvl w:val="0"/>
          <w:numId w:val="8"/>
        </w:numPr>
        <w:rPr>
          <w:rFonts w:ascii="Calibri" w:eastAsia="Times New Roman" w:hAnsi="Calibri" w:cs="Calibri"/>
          <w:color w:val="000000"/>
          <w:sz w:val="21"/>
          <w:szCs w:val="21"/>
        </w:rPr>
      </w:pPr>
      <w:r w:rsidRPr="007E1D89">
        <w:rPr>
          <w:rFonts w:ascii="Calibri" w:eastAsia="Times New Roman" w:hAnsi="Calibri" w:cs="Calibri"/>
          <w:b/>
          <w:bCs/>
          <w:color w:val="000000"/>
        </w:rPr>
        <w:t>Timeline</w:t>
      </w:r>
      <w:r w:rsidRPr="007E1D89">
        <w:rPr>
          <w:rFonts w:ascii="Calibri" w:eastAsia="Times New Roman" w:hAnsi="Calibri" w:cs="Calibri"/>
          <w:color w:val="000000"/>
        </w:rPr>
        <w:t>: While the basic timeline for an appeal remains the same, please note the following changes. </w:t>
      </w:r>
    </w:p>
    <w:p w14:paraId="4F9D3352" w14:textId="77777777" w:rsidR="003D42B7" w:rsidRPr="007E1D89" w:rsidRDefault="003D42B7" w:rsidP="003D42B7">
      <w:pPr>
        <w:numPr>
          <w:ilvl w:val="0"/>
          <w:numId w:val="9"/>
        </w:numPr>
        <w:ind w:left="1080"/>
        <w:rPr>
          <w:rFonts w:ascii="Calibri" w:eastAsia="Times New Roman" w:hAnsi="Calibri" w:cs="Calibri"/>
          <w:color w:val="000000"/>
          <w:sz w:val="21"/>
          <w:szCs w:val="21"/>
        </w:rPr>
      </w:pPr>
      <w:r w:rsidRPr="007E1D89">
        <w:rPr>
          <w:rFonts w:ascii="Calibri" w:eastAsia="Times New Roman" w:hAnsi="Calibri" w:cs="Calibri"/>
          <w:color w:val="000000"/>
        </w:rPr>
        <w:t>“If the unit administrator determines that the appeal is based on at least one of the three grounds mentioned above, the unit administrator shall provide the instructor with a copy of the written appeal within three (3) calendar days of its receipt.”</w:t>
      </w:r>
    </w:p>
    <w:p w14:paraId="5CC6A4A2" w14:textId="377EA1DD" w:rsidR="003D42B7" w:rsidRPr="007E1D89" w:rsidRDefault="003D42B7" w:rsidP="003D42B7">
      <w:pPr>
        <w:numPr>
          <w:ilvl w:val="0"/>
          <w:numId w:val="9"/>
        </w:numPr>
        <w:ind w:left="1080"/>
        <w:rPr>
          <w:rFonts w:ascii="Calibri" w:eastAsia="Times New Roman" w:hAnsi="Calibri" w:cs="Calibri"/>
          <w:color w:val="000000"/>
          <w:sz w:val="21"/>
          <w:szCs w:val="21"/>
        </w:rPr>
      </w:pPr>
      <w:r w:rsidRPr="007E1D89">
        <w:rPr>
          <w:rFonts w:ascii="Calibri" w:eastAsia="Times New Roman" w:hAnsi="Calibri" w:cs="Calibri"/>
          <w:color w:val="000000"/>
        </w:rPr>
        <w:t xml:space="preserve">Appeals to the dean may “extend the time limit on resolution of the grade appeal by no more than three weeks.” Previous language allowing for longer extensions in “extraordinary circumstances” has been deleted. </w:t>
      </w:r>
    </w:p>
    <w:p w14:paraId="4BA6BE81" w14:textId="77777777" w:rsidR="003D42B7" w:rsidRPr="007E1D89" w:rsidRDefault="003D42B7" w:rsidP="003D42B7">
      <w:pPr>
        <w:rPr>
          <w:rFonts w:ascii="Calibri" w:eastAsia="Times New Roman" w:hAnsi="Calibri" w:cs="Calibri"/>
          <w:color w:val="000000"/>
          <w:sz w:val="21"/>
          <w:szCs w:val="21"/>
        </w:rPr>
      </w:pPr>
      <w:r w:rsidRPr="007E1D89">
        <w:rPr>
          <w:rFonts w:ascii="Calibri" w:eastAsia="Times New Roman" w:hAnsi="Calibri" w:cs="Calibri"/>
          <w:b/>
          <w:bCs/>
          <w:color w:val="000000"/>
        </w:rPr>
        <w:t> </w:t>
      </w:r>
    </w:p>
    <w:p w14:paraId="56E74B08" w14:textId="77777777" w:rsidR="003D42B7" w:rsidRPr="007E1D89" w:rsidRDefault="003D42B7" w:rsidP="003D42B7">
      <w:pPr>
        <w:rPr>
          <w:rFonts w:ascii="Calibri" w:eastAsia="Times New Roman" w:hAnsi="Calibri" w:cs="Calibri"/>
          <w:color w:val="000000"/>
          <w:sz w:val="21"/>
          <w:szCs w:val="21"/>
        </w:rPr>
      </w:pPr>
      <w:r w:rsidRPr="007E1D89">
        <w:rPr>
          <w:rFonts w:ascii="Calibri" w:eastAsia="Times New Roman" w:hAnsi="Calibri" w:cs="Calibri"/>
          <w:color w:val="000000"/>
        </w:rPr>
        <w:t>Please don’t hesitate to contact me should you have any questions or concerns.</w:t>
      </w:r>
    </w:p>
    <w:p w14:paraId="02364887" w14:textId="77777777" w:rsidR="003D42B7" w:rsidRPr="007E1D89" w:rsidRDefault="003D42B7" w:rsidP="003D42B7">
      <w:pPr>
        <w:rPr>
          <w:rFonts w:ascii="Calibri" w:eastAsia="Times New Roman" w:hAnsi="Calibri" w:cs="Calibri"/>
          <w:color w:val="000000"/>
          <w:sz w:val="21"/>
          <w:szCs w:val="21"/>
        </w:rPr>
      </w:pPr>
      <w:r w:rsidRPr="007E1D89">
        <w:rPr>
          <w:rFonts w:ascii="Calibri" w:eastAsia="Times New Roman" w:hAnsi="Calibri" w:cs="Calibri"/>
          <w:color w:val="000000"/>
        </w:rPr>
        <w:t> </w:t>
      </w:r>
    </w:p>
    <w:p w14:paraId="7789159E" w14:textId="217D920C" w:rsidR="003D42B7" w:rsidRPr="007E1D89" w:rsidRDefault="003D42B7" w:rsidP="003D42B7">
      <w:pPr>
        <w:rPr>
          <w:rFonts w:ascii="Calibri" w:eastAsia="Times New Roman" w:hAnsi="Calibri" w:cs="Calibri"/>
          <w:color w:val="000000"/>
        </w:rPr>
      </w:pPr>
      <w:r w:rsidRPr="007E1D89">
        <w:rPr>
          <w:rFonts w:ascii="Calibri" w:eastAsia="Times New Roman" w:hAnsi="Calibri" w:cs="Calibri"/>
          <w:color w:val="000000"/>
        </w:rPr>
        <w:t xml:space="preserve">Sincerely, </w:t>
      </w:r>
    </w:p>
    <w:p w14:paraId="695895E5" w14:textId="067B7399" w:rsidR="00C46745" w:rsidRPr="007E1D89" w:rsidRDefault="00C46745" w:rsidP="003D42B7">
      <w:pPr>
        <w:rPr>
          <w:rFonts w:ascii="Calibri" w:eastAsia="Times New Roman" w:hAnsi="Calibri" w:cs="Calibri"/>
          <w:color w:val="000000"/>
        </w:rPr>
      </w:pPr>
    </w:p>
    <w:p w14:paraId="55C68190" w14:textId="7948FC0A" w:rsidR="007D2DA2" w:rsidRPr="007E1D89" w:rsidRDefault="00C46745">
      <w:pPr>
        <w:rPr>
          <w:sz w:val="28"/>
          <w:szCs w:val="28"/>
        </w:rPr>
      </w:pPr>
      <w:r w:rsidRPr="007E1D89">
        <w:rPr>
          <w:rFonts w:ascii="Calibri" w:eastAsia="Times New Roman" w:hAnsi="Calibri" w:cs="Calibri"/>
          <w:color w:val="000000"/>
        </w:rPr>
        <w:t>(SENDER NAME)</w:t>
      </w:r>
    </w:p>
    <w:sectPr w:rsidR="007D2DA2" w:rsidRPr="007E1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3015"/>
    <w:multiLevelType w:val="multilevel"/>
    <w:tmpl w:val="8D40787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34003254"/>
    <w:multiLevelType w:val="multilevel"/>
    <w:tmpl w:val="DFD6A5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0C1B8F"/>
    <w:multiLevelType w:val="multilevel"/>
    <w:tmpl w:val="F11C4BF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662176"/>
    <w:multiLevelType w:val="multilevel"/>
    <w:tmpl w:val="D63672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B665C9"/>
    <w:multiLevelType w:val="multilevel"/>
    <w:tmpl w:val="4DC28F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012C29"/>
    <w:multiLevelType w:val="multilevel"/>
    <w:tmpl w:val="A82E79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9637749"/>
    <w:multiLevelType w:val="multilevel"/>
    <w:tmpl w:val="09509B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F50531"/>
    <w:multiLevelType w:val="multilevel"/>
    <w:tmpl w:val="D5D882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A8533F"/>
    <w:multiLevelType w:val="multilevel"/>
    <w:tmpl w:val="BE6A638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16cid:durableId="554003698">
    <w:abstractNumId w:val="2"/>
  </w:num>
  <w:num w:numId="2" w16cid:durableId="1201363514">
    <w:abstractNumId w:val="4"/>
  </w:num>
  <w:num w:numId="3" w16cid:durableId="505940532">
    <w:abstractNumId w:val="6"/>
  </w:num>
  <w:num w:numId="4" w16cid:durableId="694620435">
    <w:abstractNumId w:val="8"/>
  </w:num>
  <w:num w:numId="5" w16cid:durableId="938954027">
    <w:abstractNumId w:val="0"/>
  </w:num>
  <w:num w:numId="6" w16cid:durableId="1116750460">
    <w:abstractNumId w:val="7"/>
  </w:num>
  <w:num w:numId="7" w16cid:durableId="1055468135">
    <w:abstractNumId w:val="3"/>
  </w:num>
  <w:num w:numId="8" w16cid:durableId="1767649372">
    <w:abstractNumId w:val="1"/>
  </w:num>
  <w:num w:numId="9" w16cid:durableId="1917130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B7"/>
    <w:rsid w:val="00082BB9"/>
    <w:rsid w:val="00185DEA"/>
    <w:rsid w:val="001E7CFA"/>
    <w:rsid w:val="00266EE0"/>
    <w:rsid w:val="00367F20"/>
    <w:rsid w:val="0037258F"/>
    <w:rsid w:val="003D42B7"/>
    <w:rsid w:val="004131F1"/>
    <w:rsid w:val="0055386E"/>
    <w:rsid w:val="00565494"/>
    <w:rsid w:val="005B71DB"/>
    <w:rsid w:val="0062724D"/>
    <w:rsid w:val="007D2DA2"/>
    <w:rsid w:val="007E1D89"/>
    <w:rsid w:val="007E521D"/>
    <w:rsid w:val="008E2586"/>
    <w:rsid w:val="009228F7"/>
    <w:rsid w:val="00986528"/>
    <w:rsid w:val="009D32B7"/>
    <w:rsid w:val="00B50676"/>
    <w:rsid w:val="00B7453F"/>
    <w:rsid w:val="00BA1D3B"/>
    <w:rsid w:val="00C13853"/>
    <w:rsid w:val="00C46745"/>
    <w:rsid w:val="00D017C3"/>
    <w:rsid w:val="00D41660"/>
    <w:rsid w:val="00E54279"/>
    <w:rsid w:val="00F30383"/>
    <w:rsid w:val="00F559AA"/>
    <w:rsid w:val="00FC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CD2194"/>
  <w15:chartTrackingRefBased/>
  <w15:docId w15:val="{AEE5B8E6-3526-244C-A035-8BA363AA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383"/>
    <w:pPr>
      <w:keepNext/>
      <w:keepLines/>
      <w:spacing w:before="240"/>
      <w:outlineLvl w:val="0"/>
    </w:pPr>
    <w:rPr>
      <w:rFonts w:asciiTheme="majorHAnsi" w:eastAsia="Times New Roman" w:hAnsiTheme="majorHAnsi" w:cstheme="majorBidi"/>
      <w:sz w:val="48"/>
      <w:szCs w:val="48"/>
    </w:rPr>
  </w:style>
  <w:style w:type="paragraph" w:styleId="Heading2">
    <w:name w:val="heading 2"/>
    <w:basedOn w:val="Normal"/>
    <w:next w:val="Normal"/>
    <w:link w:val="Heading2Char"/>
    <w:uiPriority w:val="9"/>
    <w:unhideWhenUsed/>
    <w:qFormat/>
    <w:rsid w:val="005B71DB"/>
    <w:pPr>
      <w:keepNext/>
      <w:keepLines/>
      <w:spacing w:before="40"/>
      <w:outlineLvl w:val="1"/>
    </w:pPr>
    <w:rPr>
      <w:rFonts w:asciiTheme="majorHAnsi" w:eastAsia="Times New Roman" w:hAnsiTheme="majorHAnsi" w:cstheme="majorBidi"/>
      <w:color w:val="404040" w:themeColor="text1" w:themeTint="BF"/>
      <w:sz w:val="36"/>
      <w:szCs w:val="36"/>
    </w:rPr>
  </w:style>
  <w:style w:type="paragraph" w:styleId="Heading3">
    <w:name w:val="heading 3"/>
    <w:basedOn w:val="Normal"/>
    <w:next w:val="Normal"/>
    <w:link w:val="Heading3Char"/>
    <w:uiPriority w:val="9"/>
    <w:unhideWhenUsed/>
    <w:qFormat/>
    <w:rsid w:val="00FC7841"/>
    <w:pPr>
      <w:outlineLvl w:val="2"/>
    </w:pPr>
    <w:rPr>
      <w:rFonts w:ascii="Calibri" w:eastAsia="Times New Roman" w:hAnsi="Calibri" w:cs="Calibr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D42B7"/>
  </w:style>
  <w:style w:type="paragraph" w:styleId="ListParagraph">
    <w:name w:val="List Paragraph"/>
    <w:basedOn w:val="Normal"/>
    <w:uiPriority w:val="34"/>
    <w:qFormat/>
    <w:rsid w:val="003D42B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42B7"/>
    <w:rPr>
      <w:color w:val="0000FF"/>
      <w:u w:val="single"/>
    </w:rPr>
  </w:style>
  <w:style w:type="paragraph" w:customStyle="1" w:styleId="default">
    <w:name w:val="default"/>
    <w:basedOn w:val="Normal"/>
    <w:rsid w:val="003D42B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E7CFA"/>
  </w:style>
  <w:style w:type="character" w:styleId="CommentReference">
    <w:name w:val="annotation reference"/>
    <w:basedOn w:val="DefaultParagraphFont"/>
    <w:uiPriority w:val="99"/>
    <w:semiHidden/>
    <w:unhideWhenUsed/>
    <w:rsid w:val="001E7CFA"/>
    <w:rPr>
      <w:sz w:val="16"/>
      <w:szCs w:val="16"/>
    </w:rPr>
  </w:style>
  <w:style w:type="paragraph" w:styleId="CommentText">
    <w:name w:val="annotation text"/>
    <w:basedOn w:val="Normal"/>
    <w:link w:val="CommentTextChar"/>
    <w:uiPriority w:val="99"/>
    <w:semiHidden/>
    <w:unhideWhenUsed/>
    <w:rsid w:val="001E7CFA"/>
    <w:rPr>
      <w:sz w:val="20"/>
      <w:szCs w:val="20"/>
    </w:rPr>
  </w:style>
  <w:style w:type="character" w:customStyle="1" w:styleId="CommentTextChar">
    <w:name w:val="Comment Text Char"/>
    <w:basedOn w:val="DefaultParagraphFont"/>
    <w:link w:val="CommentText"/>
    <w:uiPriority w:val="99"/>
    <w:semiHidden/>
    <w:rsid w:val="001E7CFA"/>
    <w:rPr>
      <w:sz w:val="20"/>
      <w:szCs w:val="20"/>
    </w:rPr>
  </w:style>
  <w:style w:type="paragraph" w:styleId="CommentSubject">
    <w:name w:val="annotation subject"/>
    <w:basedOn w:val="CommentText"/>
    <w:next w:val="CommentText"/>
    <w:link w:val="CommentSubjectChar"/>
    <w:uiPriority w:val="99"/>
    <w:semiHidden/>
    <w:unhideWhenUsed/>
    <w:rsid w:val="001E7CFA"/>
    <w:rPr>
      <w:b/>
      <w:bCs/>
    </w:rPr>
  </w:style>
  <w:style w:type="character" w:customStyle="1" w:styleId="CommentSubjectChar">
    <w:name w:val="Comment Subject Char"/>
    <w:basedOn w:val="CommentTextChar"/>
    <w:link w:val="CommentSubject"/>
    <w:uiPriority w:val="99"/>
    <w:semiHidden/>
    <w:rsid w:val="001E7CFA"/>
    <w:rPr>
      <w:b/>
      <w:bCs/>
      <w:sz w:val="20"/>
      <w:szCs w:val="20"/>
    </w:rPr>
  </w:style>
  <w:style w:type="character" w:styleId="UnresolvedMention">
    <w:name w:val="Unresolved Mention"/>
    <w:basedOn w:val="DefaultParagraphFont"/>
    <w:uiPriority w:val="99"/>
    <w:semiHidden/>
    <w:unhideWhenUsed/>
    <w:rsid w:val="007E1D89"/>
    <w:rPr>
      <w:color w:val="605E5C"/>
      <w:shd w:val="clear" w:color="auto" w:fill="E1DFDD"/>
    </w:rPr>
  </w:style>
  <w:style w:type="character" w:customStyle="1" w:styleId="Heading2Char">
    <w:name w:val="Heading 2 Char"/>
    <w:basedOn w:val="DefaultParagraphFont"/>
    <w:link w:val="Heading2"/>
    <w:uiPriority w:val="9"/>
    <w:rsid w:val="005B71DB"/>
    <w:rPr>
      <w:rFonts w:asciiTheme="majorHAnsi" w:eastAsia="Times New Roman" w:hAnsiTheme="majorHAnsi" w:cstheme="majorBidi"/>
      <w:color w:val="404040" w:themeColor="text1" w:themeTint="BF"/>
      <w:sz w:val="36"/>
      <w:szCs w:val="36"/>
    </w:rPr>
  </w:style>
  <w:style w:type="character" w:customStyle="1" w:styleId="Heading1Char">
    <w:name w:val="Heading 1 Char"/>
    <w:basedOn w:val="DefaultParagraphFont"/>
    <w:link w:val="Heading1"/>
    <w:uiPriority w:val="9"/>
    <w:rsid w:val="00F30383"/>
    <w:rPr>
      <w:rFonts w:asciiTheme="majorHAnsi" w:eastAsia="Times New Roman" w:hAnsiTheme="majorHAnsi" w:cstheme="majorBidi"/>
      <w:sz w:val="48"/>
      <w:szCs w:val="48"/>
    </w:rPr>
  </w:style>
  <w:style w:type="character" w:customStyle="1" w:styleId="Heading3Char">
    <w:name w:val="Heading 3 Char"/>
    <w:basedOn w:val="DefaultParagraphFont"/>
    <w:link w:val="Heading3"/>
    <w:uiPriority w:val="9"/>
    <w:rsid w:val="00FC7841"/>
    <w:rPr>
      <w:rFonts w:ascii="Calibri" w:eastAsia="Times New Roman" w:hAnsi="Calibri" w:cs="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cy.unt.edu/policy/16-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y.unt.edu/policy/06-041" TargetMode="External"/><Relationship Id="rId5" Type="http://schemas.openxmlformats.org/officeDocument/2006/relationships/hyperlink" Target="https://policy.unt.edu/policy/06-0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Gullett, Leigh</dc:creator>
  <cp:keywords/>
  <dc:description/>
  <cp:lastModifiedBy>Simone, John</cp:lastModifiedBy>
  <cp:revision>3</cp:revision>
  <dcterms:created xsi:type="dcterms:W3CDTF">2022-04-27T17:22:00Z</dcterms:created>
  <dcterms:modified xsi:type="dcterms:W3CDTF">2022-04-27T17:22:00Z</dcterms:modified>
</cp:coreProperties>
</file>